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65F" w:rsidRPr="00E4023B" w:rsidRDefault="0019342C" w:rsidP="00877EBD">
      <w:pPr>
        <w:pStyle w:val="PlainText"/>
        <w:tabs>
          <w:tab w:val="left" w:pos="720"/>
        </w:tabs>
        <w:ind w:left="2835" w:right="29" w:hanging="2835"/>
        <w:rPr>
          <w:rFonts w:ascii="Arial" w:hAnsi="Arial"/>
          <w:b/>
          <w:smallCaps/>
          <w:sz w:val="24"/>
        </w:rPr>
      </w:pPr>
      <w:r w:rsidRPr="00E4023B">
        <w:rPr>
          <w:rFonts w:ascii="Arial" w:hAnsi="Arial"/>
          <w:b/>
          <w:smallCaps/>
          <w:sz w:val="24"/>
        </w:rPr>
        <w:t>#</w:t>
      </w:r>
      <w:r w:rsidR="003F165F" w:rsidRPr="00E4023B">
        <w:rPr>
          <w:rFonts w:ascii="Arial" w:hAnsi="Arial"/>
          <w:b/>
          <w:smallCaps/>
          <w:sz w:val="24"/>
        </w:rPr>
        <w:t>.</w:t>
      </w:r>
      <w:r w:rsidR="003F165F" w:rsidRPr="00E4023B">
        <w:rPr>
          <w:rFonts w:ascii="Arial" w:hAnsi="Arial"/>
          <w:b/>
          <w:smallCaps/>
          <w:sz w:val="24"/>
        </w:rPr>
        <w:tab/>
      </w:r>
      <w:r w:rsidR="00E4023B">
        <w:rPr>
          <w:rFonts w:ascii="Arial" w:hAnsi="Arial"/>
          <w:b/>
          <w:smallCaps/>
          <w:sz w:val="24"/>
        </w:rPr>
        <w:t>Subject</w:t>
      </w:r>
      <w:r w:rsidR="003F165F" w:rsidRPr="00E4023B">
        <w:rPr>
          <w:rFonts w:ascii="Arial" w:hAnsi="Arial"/>
          <w:b/>
          <w:smallCaps/>
          <w:sz w:val="24"/>
        </w:rPr>
        <w:t xml:space="preserve">: </w:t>
      </w:r>
      <w:r w:rsidR="003F165F" w:rsidRPr="00E4023B">
        <w:rPr>
          <w:rFonts w:ascii="Arial" w:hAnsi="Arial"/>
          <w:b/>
          <w:smallCaps/>
          <w:sz w:val="24"/>
        </w:rPr>
        <w:tab/>
      </w:r>
      <w:r w:rsidR="00E4023B">
        <w:rPr>
          <w:rFonts w:ascii="Arial" w:hAnsi="Arial"/>
          <w:b/>
          <w:smallCaps/>
          <w:sz w:val="24"/>
        </w:rPr>
        <w:t xml:space="preserve">Deniliquin Local Environmental Plan 2013 </w:t>
      </w:r>
      <w:r w:rsidR="00A057AC" w:rsidRPr="00E4023B">
        <w:rPr>
          <w:rFonts w:ascii="Arial" w:hAnsi="Arial"/>
          <w:b/>
          <w:smallCaps/>
          <w:sz w:val="24"/>
        </w:rPr>
        <w:t xml:space="preserve">– </w:t>
      </w:r>
      <w:r w:rsidR="00E4023B">
        <w:rPr>
          <w:rFonts w:ascii="Arial" w:hAnsi="Arial"/>
          <w:b/>
          <w:smallCaps/>
          <w:sz w:val="24"/>
        </w:rPr>
        <w:t xml:space="preserve">Planning Proposal No </w:t>
      </w:r>
      <w:r w:rsidR="00D42AB6">
        <w:rPr>
          <w:rFonts w:ascii="Arial" w:hAnsi="Arial"/>
          <w:b/>
          <w:smallCaps/>
          <w:sz w:val="24"/>
        </w:rPr>
        <w:t>8</w:t>
      </w:r>
    </w:p>
    <w:p w:rsidR="003F165F" w:rsidRPr="00E4023B" w:rsidRDefault="00E4023B" w:rsidP="001C004B">
      <w:pPr>
        <w:pStyle w:val="Heading9"/>
        <w:tabs>
          <w:tab w:val="left" w:pos="2835"/>
        </w:tabs>
        <w:spacing w:before="300"/>
        <w:ind w:left="720" w:firstLine="0"/>
        <w:rPr>
          <w:b/>
          <w:i w:val="0"/>
          <w:smallCaps/>
        </w:rPr>
      </w:pPr>
      <w:r>
        <w:rPr>
          <w:b/>
          <w:i w:val="0"/>
          <w:smallCaps/>
        </w:rPr>
        <w:t>From</w:t>
      </w:r>
      <w:r w:rsidR="003F165F" w:rsidRPr="00E4023B">
        <w:rPr>
          <w:b/>
          <w:i w:val="0"/>
          <w:smallCaps/>
        </w:rPr>
        <w:t>:</w:t>
      </w:r>
      <w:r w:rsidR="009834D9" w:rsidRPr="00E4023B">
        <w:rPr>
          <w:b/>
          <w:i w:val="0"/>
          <w:smallCaps/>
        </w:rPr>
        <w:tab/>
      </w:r>
      <w:r w:rsidR="00CF15A7">
        <w:rPr>
          <w:b/>
          <w:i w:val="0"/>
          <w:smallCaps/>
        </w:rPr>
        <w:t>Manager Economic and Business Development</w:t>
      </w:r>
    </w:p>
    <w:p w:rsidR="003F165F" w:rsidRDefault="00CF15A7" w:rsidP="00405C74">
      <w:pPr>
        <w:pStyle w:val="Heading9"/>
        <w:ind w:left="2835" w:firstLine="0"/>
        <w:rPr>
          <w:b/>
          <w:i w:val="0"/>
          <w:smallCaps/>
        </w:rPr>
      </w:pPr>
      <w:r>
        <w:rPr>
          <w:b/>
          <w:i w:val="0"/>
          <w:smallCaps/>
        </w:rPr>
        <w:t>John Harvie</w:t>
      </w:r>
    </w:p>
    <w:p w:rsidR="006E40A6" w:rsidRPr="00CF15A7" w:rsidRDefault="00CF15A7" w:rsidP="006E40A6">
      <w:pPr>
        <w:spacing w:before="300"/>
        <w:ind w:left="709"/>
        <w:rPr>
          <w:b/>
          <w:smallCaps/>
        </w:rPr>
      </w:pPr>
      <w:r w:rsidRPr="00CF15A7">
        <w:rPr>
          <w:b/>
          <w:smallCaps/>
        </w:rPr>
        <w:t>Prepared By:</w:t>
      </w:r>
      <w:r w:rsidRPr="00CF15A7">
        <w:rPr>
          <w:b/>
          <w:smallCaps/>
        </w:rPr>
        <w:tab/>
      </w:r>
      <w:r w:rsidR="006E40A6">
        <w:rPr>
          <w:b/>
          <w:smallCaps/>
        </w:rPr>
        <w:t>Manager Environmental Services</w:t>
      </w:r>
    </w:p>
    <w:p w:rsidR="006E40A6" w:rsidRPr="00CF15A7" w:rsidRDefault="006E40A6" w:rsidP="00C23FE7">
      <w:pPr>
        <w:ind w:left="709"/>
        <w:rPr>
          <w:b/>
          <w:smallCaps/>
        </w:rPr>
      </w:pPr>
      <w:r>
        <w:rPr>
          <w:b/>
          <w:smallCaps/>
        </w:rPr>
        <w:tab/>
      </w:r>
      <w:r>
        <w:rPr>
          <w:b/>
          <w:smallCaps/>
        </w:rPr>
        <w:tab/>
      </w:r>
      <w:r>
        <w:rPr>
          <w:b/>
          <w:smallCaps/>
        </w:rPr>
        <w:tab/>
      </w:r>
      <w:r>
        <w:rPr>
          <w:b/>
          <w:smallCaps/>
        </w:rPr>
        <w:tab/>
        <w:t>Julie Rogers</w:t>
      </w:r>
    </w:p>
    <w:p w:rsidR="008D1379" w:rsidRPr="00E4023B" w:rsidRDefault="008D1379" w:rsidP="00027E61">
      <w:pPr>
        <w:pStyle w:val="PlainText"/>
        <w:spacing w:before="480"/>
        <w:ind w:left="720"/>
        <w:jc w:val="both"/>
        <w:rPr>
          <w:rFonts w:ascii="Arial" w:hAnsi="Arial"/>
          <w:b/>
          <w:smallCaps/>
          <w:sz w:val="24"/>
        </w:rPr>
      </w:pPr>
      <w:r w:rsidRPr="00E4023B">
        <w:rPr>
          <w:rFonts w:ascii="Arial" w:hAnsi="Arial"/>
          <w:b/>
          <w:smallCaps/>
          <w:sz w:val="24"/>
        </w:rPr>
        <w:t>Recommendation:</w:t>
      </w:r>
    </w:p>
    <w:p w:rsidR="00EC3981" w:rsidRDefault="00EC3981" w:rsidP="00EC3981">
      <w:pPr>
        <w:pStyle w:val="PlainText"/>
        <w:ind w:left="709"/>
        <w:jc w:val="both"/>
        <w:rPr>
          <w:rFonts w:ascii="Arial" w:hAnsi="Arial"/>
          <w:sz w:val="24"/>
        </w:rPr>
      </w:pPr>
    </w:p>
    <w:p w:rsidR="00EC3981" w:rsidRPr="00EC3981" w:rsidRDefault="00EC3981" w:rsidP="00EC3981">
      <w:pPr>
        <w:pStyle w:val="PlainText"/>
        <w:ind w:left="709"/>
        <w:jc w:val="both"/>
        <w:rPr>
          <w:rFonts w:ascii="Arial" w:hAnsi="Arial"/>
          <w:b/>
          <w:smallCaps/>
          <w:sz w:val="24"/>
        </w:rPr>
      </w:pPr>
      <w:r w:rsidRPr="00EC3981">
        <w:rPr>
          <w:rFonts w:ascii="Arial" w:hAnsi="Arial"/>
          <w:b/>
          <w:smallCaps/>
          <w:sz w:val="24"/>
        </w:rPr>
        <w:t>Division</w:t>
      </w:r>
    </w:p>
    <w:p w:rsidR="00EC3981" w:rsidRDefault="00EC3981" w:rsidP="00EC3981">
      <w:pPr>
        <w:pStyle w:val="PlainText"/>
        <w:ind w:left="709"/>
        <w:jc w:val="both"/>
        <w:rPr>
          <w:rFonts w:ascii="Arial" w:hAnsi="Arial"/>
          <w:sz w:val="24"/>
        </w:rPr>
      </w:pPr>
      <w:r w:rsidRPr="00B21234">
        <w:rPr>
          <w:rFonts w:ascii="Arial" w:hAnsi="Arial"/>
          <w:sz w:val="24"/>
        </w:rPr>
        <w:t>In accordance with the requirements of the Local Government Act, it is necessary for Council to call a division when voting o</w:t>
      </w:r>
      <w:r w:rsidR="003D0372">
        <w:rPr>
          <w:rFonts w:ascii="Arial" w:hAnsi="Arial"/>
          <w:sz w:val="24"/>
        </w:rPr>
        <w:t>n</w:t>
      </w:r>
      <w:r w:rsidRPr="00B21234">
        <w:rPr>
          <w:rFonts w:ascii="Arial" w:hAnsi="Arial"/>
          <w:sz w:val="24"/>
        </w:rPr>
        <w:t xml:space="preserve"> any resolution that involves making a planning decision.</w:t>
      </w:r>
    </w:p>
    <w:p w:rsidR="008D1379" w:rsidRDefault="00F31392" w:rsidP="008D1379">
      <w:pPr>
        <w:pStyle w:val="PlainText"/>
        <w:spacing w:before="120"/>
        <w:ind w:left="720"/>
        <w:jc w:val="both"/>
        <w:rPr>
          <w:rFonts w:ascii="Arial" w:hAnsi="Arial"/>
          <w:sz w:val="24"/>
        </w:rPr>
      </w:pPr>
      <w:r>
        <w:rPr>
          <w:rFonts w:ascii="Arial" w:hAnsi="Arial"/>
          <w:sz w:val="24"/>
        </w:rPr>
        <w:t>That Council:</w:t>
      </w:r>
    </w:p>
    <w:p w:rsidR="00F31392" w:rsidRDefault="00F31392" w:rsidP="00F31392">
      <w:pPr>
        <w:pStyle w:val="PlainText"/>
        <w:spacing w:before="120"/>
        <w:ind w:left="1560" w:hanging="840"/>
        <w:jc w:val="both"/>
        <w:rPr>
          <w:rFonts w:ascii="Arial" w:hAnsi="Arial"/>
          <w:sz w:val="24"/>
        </w:rPr>
      </w:pPr>
      <w:r>
        <w:rPr>
          <w:rFonts w:ascii="Arial" w:hAnsi="Arial"/>
          <w:sz w:val="24"/>
        </w:rPr>
        <w:t>a</w:t>
      </w:r>
      <w:r>
        <w:rPr>
          <w:rFonts w:ascii="Arial" w:hAnsi="Arial"/>
          <w:sz w:val="24"/>
        </w:rPr>
        <w:tab/>
        <w:t>Prepare a planning proposal</w:t>
      </w:r>
      <w:r w:rsidR="00863163">
        <w:rPr>
          <w:rFonts w:ascii="Arial" w:hAnsi="Arial"/>
          <w:sz w:val="24"/>
        </w:rPr>
        <w:t xml:space="preserve"> to amend the Deniliquin Local Environmental Plan 2013</w:t>
      </w:r>
      <w:r>
        <w:rPr>
          <w:rFonts w:ascii="Arial" w:hAnsi="Arial"/>
          <w:sz w:val="24"/>
        </w:rPr>
        <w:t xml:space="preserve"> in accordance with section 55(1) of the Environmental Planning and Assessment</w:t>
      </w:r>
      <w:r w:rsidR="00CF15A7">
        <w:rPr>
          <w:rFonts w:ascii="Arial" w:hAnsi="Arial"/>
          <w:sz w:val="24"/>
        </w:rPr>
        <w:t xml:space="preserve"> Act 1979 to </w:t>
      </w:r>
      <w:r w:rsidR="00D42AB6">
        <w:rPr>
          <w:rFonts w:ascii="Arial" w:hAnsi="Arial"/>
          <w:sz w:val="24"/>
        </w:rPr>
        <w:t>rezone Lots 2, 3 and 4 DP286006 Barham Road</w:t>
      </w:r>
      <w:r w:rsidR="006E40A6">
        <w:rPr>
          <w:rFonts w:ascii="Arial" w:hAnsi="Arial"/>
          <w:sz w:val="24"/>
        </w:rPr>
        <w:t>, Deniliquin</w:t>
      </w:r>
      <w:r w:rsidR="00D42AB6">
        <w:rPr>
          <w:rFonts w:ascii="Arial" w:hAnsi="Arial"/>
          <w:sz w:val="24"/>
        </w:rPr>
        <w:t xml:space="preserve"> from RU1 Primary Production to IN1 General Industrial</w:t>
      </w:r>
      <w:r w:rsidR="006E40A6">
        <w:rPr>
          <w:rFonts w:ascii="Arial" w:hAnsi="Arial"/>
          <w:sz w:val="24"/>
        </w:rPr>
        <w:t>.</w:t>
      </w:r>
      <w:r w:rsidR="00CF15A7">
        <w:rPr>
          <w:rFonts w:ascii="Arial" w:hAnsi="Arial"/>
          <w:sz w:val="24"/>
        </w:rPr>
        <w:t xml:space="preserve"> </w:t>
      </w:r>
    </w:p>
    <w:p w:rsidR="00F31392" w:rsidRDefault="00F31392" w:rsidP="00F31392">
      <w:pPr>
        <w:pStyle w:val="PlainText"/>
        <w:spacing w:before="120"/>
        <w:ind w:left="1560" w:hanging="840"/>
        <w:jc w:val="both"/>
        <w:rPr>
          <w:rFonts w:ascii="Arial" w:hAnsi="Arial"/>
          <w:sz w:val="24"/>
        </w:rPr>
      </w:pPr>
      <w:r>
        <w:rPr>
          <w:rFonts w:ascii="Arial" w:hAnsi="Arial"/>
          <w:sz w:val="24"/>
        </w:rPr>
        <w:t>b</w:t>
      </w:r>
      <w:r>
        <w:rPr>
          <w:rFonts w:ascii="Arial" w:hAnsi="Arial"/>
          <w:sz w:val="24"/>
        </w:rPr>
        <w:tab/>
        <w:t>Forward the planning proposal to the Minister for Planning and Infrastructure in accordance with section 56(1) of the Environmental Planning and Assessment Act 1979.</w:t>
      </w:r>
    </w:p>
    <w:p w:rsidR="00F31392" w:rsidRPr="008D1379" w:rsidRDefault="00F31392" w:rsidP="00F31392">
      <w:pPr>
        <w:pStyle w:val="PlainText"/>
        <w:spacing w:before="120"/>
        <w:ind w:left="1560" w:hanging="851"/>
        <w:jc w:val="both"/>
        <w:rPr>
          <w:rFonts w:ascii="Arial" w:hAnsi="Arial"/>
          <w:sz w:val="24"/>
        </w:rPr>
      </w:pPr>
      <w:r>
        <w:rPr>
          <w:rFonts w:ascii="Arial" w:hAnsi="Arial"/>
          <w:sz w:val="24"/>
        </w:rPr>
        <w:t>c</w:t>
      </w:r>
      <w:r>
        <w:rPr>
          <w:rFonts w:ascii="Arial" w:hAnsi="Arial"/>
          <w:sz w:val="24"/>
        </w:rPr>
        <w:tab/>
      </w:r>
      <w:r w:rsidR="00577A5B">
        <w:rPr>
          <w:rFonts w:ascii="Arial" w:hAnsi="Arial"/>
          <w:sz w:val="24"/>
        </w:rPr>
        <w:t>Request that the local planning making functions in relation to this planning proposal be delegated to Council.</w:t>
      </w:r>
    </w:p>
    <w:p w:rsidR="003F165F" w:rsidRPr="00877EBD" w:rsidRDefault="003F165F" w:rsidP="008D1379">
      <w:pPr>
        <w:pStyle w:val="PlainText"/>
        <w:spacing w:before="360"/>
        <w:ind w:left="720"/>
        <w:jc w:val="both"/>
        <w:rPr>
          <w:rFonts w:ascii="Arial" w:hAnsi="Arial"/>
          <w:b/>
          <w:smallCaps/>
          <w:sz w:val="24"/>
        </w:rPr>
      </w:pPr>
      <w:r w:rsidRPr="00877EBD">
        <w:rPr>
          <w:rFonts w:ascii="Arial" w:hAnsi="Arial"/>
          <w:b/>
          <w:smallCaps/>
          <w:sz w:val="24"/>
        </w:rPr>
        <w:t>Background</w:t>
      </w:r>
    </w:p>
    <w:p w:rsidR="000506DB" w:rsidRDefault="00D42AB6" w:rsidP="000506DB">
      <w:pPr>
        <w:pStyle w:val="PlainText"/>
        <w:spacing w:before="120" w:after="120"/>
        <w:ind w:left="720"/>
        <w:jc w:val="both"/>
        <w:rPr>
          <w:rFonts w:ascii="Arial" w:hAnsi="Arial"/>
          <w:sz w:val="24"/>
        </w:rPr>
      </w:pPr>
      <w:r>
        <w:rPr>
          <w:rFonts w:ascii="Arial" w:hAnsi="Arial"/>
          <w:sz w:val="24"/>
        </w:rPr>
        <w:t xml:space="preserve">Council has received a request from the owner of Lots 2, 3, and 4 DP286006 Barham Road from RU1 Primary Production to IN1 General Industrial under the Deniliquin Local Environmental Plan 2013.  </w:t>
      </w:r>
      <w:r w:rsidR="00975A32">
        <w:rPr>
          <w:rFonts w:ascii="Arial" w:hAnsi="Arial"/>
          <w:sz w:val="24"/>
        </w:rPr>
        <w:t xml:space="preserve">Attachment 1 is </w:t>
      </w:r>
      <w:r>
        <w:rPr>
          <w:rFonts w:ascii="Arial" w:hAnsi="Arial"/>
          <w:sz w:val="24"/>
        </w:rPr>
        <w:t>the request from the land owner</w:t>
      </w:r>
      <w:r w:rsidR="00975A32">
        <w:rPr>
          <w:rFonts w:ascii="Arial" w:hAnsi="Arial"/>
          <w:sz w:val="24"/>
        </w:rPr>
        <w:t>.</w:t>
      </w:r>
      <w:r w:rsidR="00EF73C3">
        <w:rPr>
          <w:rFonts w:ascii="Arial" w:hAnsi="Arial"/>
          <w:sz w:val="24"/>
        </w:rPr>
        <w:t xml:space="preserve">  </w:t>
      </w:r>
      <w:r>
        <w:rPr>
          <w:rFonts w:ascii="Arial" w:hAnsi="Arial"/>
          <w:sz w:val="24"/>
        </w:rPr>
        <w:t>Figure 1 shows the location of the site.</w:t>
      </w:r>
    </w:p>
    <w:p w:rsidR="000506DB" w:rsidRDefault="000506DB" w:rsidP="000506DB">
      <w:pPr>
        <w:ind w:left="709"/>
        <w:jc w:val="both"/>
        <w:rPr>
          <w:szCs w:val="24"/>
        </w:rPr>
      </w:pPr>
      <w:r>
        <w:rPr>
          <w:szCs w:val="24"/>
        </w:rPr>
        <w:t>The subject site is located on Barham Road and Leetham Road and is held in three titles.  The subject site also has frontage to the railway line.  The site has a total area of 66.5ha with each lot having the following land area:</w:t>
      </w:r>
    </w:p>
    <w:p w:rsidR="000506DB" w:rsidRDefault="000506DB" w:rsidP="000506DB">
      <w:pPr>
        <w:ind w:left="709"/>
        <w:jc w:val="both"/>
        <w:rPr>
          <w:szCs w:val="24"/>
        </w:rPr>
      </w:pPr>
    </w:p>
    <w:tbl>
      <w:tblPr>
        <w:tblStyle w:val="TableGrid"/>
        <w:tblW w:w="0" w:type="auto"/>
        <w:tblInd w:w="704" w:type="dxa"/>
        <w:tblLook w:val="04A0" w:firstRow="1" w:lastRow="0" w:firstColumn="1" w:lastColumn="0" w:noHBand="0" w:noVBand="1"/>
      </w:tblPr>
      <w:tblGrid>
        <w:gridCol w:w="4111"/>
        <w:gridCol w:w="4201"/>
      </w:tblGrid>
      <w:tr w:rsidR="000506DB" w:rsidTr="000506DB">
        <w:tc>
          <w:tcPr>
            <w:tcW w:w="4111" w:type="dxa"/>
          </w:tcPr>
          <w:p w:rsidR="000506DB" w:rsidRPr="00887383" w:rsidRDefault="000506DB" w:rsidP="000506DB">
            <w:pPr>
              <w:rPr>
                <w:b/>
                <w:szCs w:val="24"/>
              </w:rPr>
            </w:pPr>
            <w:r w:rsidRPr="00887383">
              <w:rPr>
                <w:b/>
                <w:szCs w:val="24"/>
              </w:rPr>
              <w:t>Lot</w:t>
            </w:r>
          </w:p>
        </w:tc>
        <w:tc>
          <w:tcPr>
            <w:tcW w:w="4201" w:type="dxa"/>
          </w:tcPr>
          <w:p w:rsidR="000506DB" w:rsidRPr="00887383" w:rsidRDefault="000506DB" w:rsidP="000506DB">
            <w:pPr>
              <w:ind w:left="28"/>
              <w:rPr>
                <w:b/>
                <w:szCs w:val="24"/>
              </w:rPr>
            </w:pPr>
            <w:r w:rsidRPr="00887383">
              <w:rPr>
                <w:b/>
                <w:szCs w:val="24"/>
              </w:rPr>
              <w:t>Land Area</w:t>
            </w:r>
          </w:p>
        </w:tc>
      </w:tr>
      <w:tr w:rsidR="000506DB" w:rsidTr="000506DB">
        <w:tc>
          <w:tcPr>
            <w:tcW w:w="4111" w:type="dxa"/>
          </w:tcPr>
          <w:p w:rsidR="000506DB" w:rsidRDefault="000506DB" w:rsidP="000506DB">
            <w:pPr>
              <w:rPr>
                <w:szCs w:val="24"/>
              </w:rPr>
            </w:pPr>
            <w:r>
              <w:rPr>
                <w:szCs w:val="24"/>
              </w:rPr>
              <w:t>Lot 2 DP286006</w:t>
            </w:r>
          </w:p>
        </w:tc>
        <w:tc>
          <w:tcPr>
            <w:tcW w:w="4201" w:type="dxa"/>
          </w:tcPr>
          <w:p w:rsidR="000506DB" w:rsidRDefault="000506DB" w:rsidP="000506DB">
            <w:pPr>
              <w:ind w:left="28"/>
              <w:rPr>
                <w:szCs w:val="24"/>
              </w:rPr>
            </w:pPr>
            <w:r>
              <w:rPr>
                <w:szCs w:val="24"/>
              </w:rPr>
              <w:t>27.25ha</w:t>
            </w:r>
          </w:p>
        </w:tc>
      </w:tr>
      <w:tr w:rsidR="000506DB" w:rsidTr="000506DB">
        <w:tc>
          <w:tcPr>
            <w:tcW w:w="4111" w:type="dxa"/>
          </w:tcPr>
          <w:p w:rsidR="000506DB" w:rsidRDefault="000506DB" w:rsidP="000506DB">
            <w:pPr>
              <w:rPr>
                <w:szCs w:val="24"/>
              </w:rPr>
            </w:pPr>
            <w:r>
              <w:rPr>
                <w:szCs w:val="24"/>
              </w:rPr>
              <w:t>Lot 3 DP286006</w:t>
            </w:r>
          </w:p>
        </w:tc>
        <w:tc>
          <w:tcPr>
            <w:tcW w:w="4201" w:type="dxa"/>
          </w:tcPr>
          <w:p w:rsidR="000506DB" w:rsidRDefault="000506DB" w:rsidP="000506DB">
            <w:pPr>
              <w:ind w:left="28"/>
              <w:rPr>
                <w:szCs w:val="24"/>
              </w:rPr>
            </w:pPr>
            <w:r>
              <w:rPr>
                <w:szCs w:val="24"/>
              </w:rPr>
              <w:t>19.49ha</w:t>
            </w:r>
          </w:p>
        </w:tc>
      </w:tr>
      <w:tr w:rsidR="000506DB" w:rsidTr="000506DB">
        <w:tc>
          <w:tcPr>
            <w:tcW w:w="4111" w:type="dxa"/>
          </w:tcPr>
          <w:p w:rsidR="000506DB" w:rsidRDefault="000506DB" w:rsidP="000506DB">
            <w:pPr>
              <w:rPr>
                <w:szCs w:val="24"/>
              </w:rPr>
            </w:pPr>
            <w:r>
              <w:rPr>
                <w:szCs w:val="24"/>
              </w:rPr>
              <w:t>Lot 4 DP286006</w:t>
            </w:r>
          </w:p>
        </w:tc>
        <w:tc>
          <w:tcPr>
            <w:tcW w:w="4201" w:type="dxa"/>
          </w:tcPr>
          <w:p w:rsidR="000506DB" w:rsidRDefault="000506DB" w:rsidP="000506DB">
            <w:pPr>
              <w:ind w:left="28"/>
              <w:rPr>
                <w:szCs w:val="24"/>
              </w:rPr>
            </w:pPr>
            <w:r>
              <w:rPr>
                <w:szCs w:val="24"/>
              </w:rPr>
              <w:t>19.75ha</w:t>
            </w:r>
          </w:p>
        </w:tc>
      </w:tr>
    </w:tbl>
    <w:p w:rsidR="000506DB" w:rsidRDefault="000506DB" w:rsidP="000506DB">
      <w:pPr>
        <w:ind w:left="709"/>
        <w:rPr>
          <w:szCs w:val="24"/>
        </w:rPr>
      </w:pPr>
    </w:p>
    <w:p w:rsidR="000506DB" w:rsidRDefault="000506DB" w:rsidP="000506DB">
      <w:pPr>
        <w:ind w:left="709"/>
        <w:jc w:val="both"/>
        <w:rPr>
          <w:szCs w:val="24"/>
        </w:rPr>
      </w:pPr>
      <w:r>
        <w:rPr>
          <w:szCs w:val="24"/>
        </w:rPr>
        <w:t>The site is vacant and used for agriculture ie grazing of livestock.  There is no significant vegetation on the site.  The site is within the vicinity of the recently approved ethanol plant and Council’s effluent dam.  The site adjoins land zoned IN1 General Industrial, RU1 Primary Production and SP2 Infrastructure and is surrounded by a variety of land uses including agriculture, dwellings, industrial uses and infrastructure and is also within the vicinity of the site for the recently approved ethanol plant.</w:t>
      </w:r>
    </w:p>
    <w:p w:rsidR="000506DB" w:rsidRDefault="000506DB" w:rsidP="00D42AB6">
      <w:pPr>
        <w:pStyle w:val="PlainText"/>
        <w:spacing w:before="120"/>
        <w:ind w:left="720"/>
        <w:jc w:val="both"/>
        <w:rPr>
          <w:rFonts w:ascii="Arial" w:hAnsi="Arial"/>
          <w:sz w:val="24"/>
        </w:rPr>
      </w:pPr>
    </w:p>
    <w:p w:rsidR="00D42AB6" w:rsidRDefault="00D42AB6" w:rsidP="00D42AB6">
      <w:pPr>
        <w:pStyle w:val="PlainText"/>
        <w:spacing w:before="120"/>
        <w:ind w:left="720"/>
        <w:jc w:val="both"/>
        <w:rPr>
          <w:rFonts w:ascii="Arial" w:hAnsi="Arial"/>
          <w:sz w:val="24"/>
        </w:rPr>
      </w:pPr>
      <w:r>
        <w:rPr>
          <w:noProof/>
          <w:lang w:eastAsia="en-AU"/>
        </w:rPr>
        <w:lastRenderedPageBreak/>
        <w:drawing>
          <wp:inline distT="0" distB="0" distL="0" distR="0" wp14:anchorId="46237113" wp14:editId="58B5B015">
            <wp:extent cx="5731510" cy="4987925"/>
            <wp:effectExtent l="19050" t="19050" r="21590" b="222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4987925"/>
                    </a:xfrm>
                    <a:prstGeom prst="rect">
                      <a:avLst/>
                    </a:prstGeom>
                    <a:ln w="3175">
                      <a:solidFill>
                        <a:schemeClr val="tx1"/>
                      </a:solidFill>
                    </a:ln>
                  </pic:spPr>
                </pic:pic>
              </a:graphicData>
            </a:graphic>
          </wp:inline>
        </w:drawing>
      </w:r>
    </w:p>
    <w:p w:rsidR="00D42AB6" w:rsidRPr="00D42AB6" w:rsidRDefault="00D42AB6" w:rsidP="00DE75C9">
      <w:pPr>
        <w:pStyle w:val="PlainText"/>
        <w:spacing w:before="120"/>
        <w:ind w:left="720"/>
        <w:jc w:val="both"/>
        <w:rPr>
          <w:rFonts w:ascii="Arial" w:hAnsi="Arial"/>
          <w:b/>
          <w:sz w:val="24"/>
        </w:rPr>
      </w:pPr>
      <w:r w:rsidRPr="00D42AB6">
        <w:rPr>
          <w:rFonts w:ascii="Arial" w:hAnsi="Arial"/>
          <w:b/>
          <w:sz w:val="24"/>
        </w:rPr>
        <w:t>Figure 1 Location of subject site</w:t>
      </w:r>
    </w:p>
    <w:p w:rsidR="0088355D" w:rsidRDefault="00DE75C9" w:rsidP="00DE75C9">
      <w:pPr>
        <w:pStyle w:val="PlainText"/>
        <w:spacing w:before="120"/>
        <w:ind w:left="720"/>
        <w:jc w:val="both"/>
        <w:rPr>
          <w:rFonts w:ascii="Arial" w:hAnsi="Arial"/>
          <w:sz w:val="24"/>
        </w:rPr>
      </w:pPr>
      <w:r>
        <w:rPr>
          <w:rFonts w:ascii="Arial" w:hAnsi="Arial"/>
          <w:sz w:val="24"/>
        </w:rPr>
        <w:t>A planning proposal</w:t>
      </w:r>
      <w:r w:rsidR="00531553">
        <w:rPr>
          <w:rFonts w:ascii="Arial" w:hAnsi="Arial"/>
          <w:sz w:val="24"/>
        </w:rPr>
        <w:t xml:space="preserve"> (Attachment 2)</w:t>
      </w:r>
      <w:r w:rsidR="00887C99">
        <w:rPr>
          <w:rFonts w:ascii="Arial" w:hAnsi="Arial"/>
          <w:sz w:val="24"/>
        </w:rPr>
        <w:t xml:space="preserve"> has been prepared to </w:t>
      </w:r>
      <w:r w:rsidR="00D42AB6">
        <w:rPr>
          <w:rFonts w:ascii="Arial" w:hAnsi="Arial"/>
          <w:sz w:val="24"/>
        </w:rPr>
        <w:t>support the rezoning</w:t>
      </w:r>
      <w:bookmarkStart w:id="0" w:name="_GoBack"/>
      <w:bookmarkEnd w:id="0"/>
      <w:r w:rsidR="00B73C3D">
        <w:rPr>
          <w:rFonts w:ascii="Arial" w:hAnsi="Arial"/>
          <w:sz w:val="24"/>
        </w:rPr>
        <w:t>.</w:t>
      </w:r>
    </w:p>
    <w:p w:rsidR="00D42AB6" w:rsidRDefault="00421DBF" w:rsidP="00DE75C9">
      <w:pPr>
        <w:pStyle w:val="PlainText"/>
        <w:spacing w:before="120"/>
        <w:ind w:left="720"/>
        <w:jc w:val="both"/>
        <w:rPr>
          <w:rFonts w:ascii="Arial" w:hAnsi="Arial"/>
          <w:sz w:val="24"/>
        </w:rPr>
      </w:pPr>
      <w:r>
        <w:rPr>
          <w:rFonts w:ascii="Arial" w:hAnsi="Arial"/>
          <w:sz w:val="24"/>
        </w:rPr>
        <w:t xml:space="preserve">Existing industrial land supply is adequate however is not market ready due to a lack of services, inadequate road access, size of lots and land bankers.  </w:t>
      </w:r>
      <w:r w:rsidR="00D42AB6">
        <w:rPr>
          <w:rFonts w:ascii="Arial" w:hAnsi="Arial"/>
          <w:sz w:val="24"/>
        </w:rPr>
        <w:t>The planning proposal supports the rezoning of the land for the following reasons:</w:t>
      </w:r>
    </w:p>
    <w:p w:rsidR="00D42AB6" w:rsidRDefault="00D42AB6" w:rsidP="00D42AB6">
      <w:pPr>
        <w:pStyle w:val="PlainText"/>
        <w:numPr>
          <w:ilvl w:val="0"/>
          <w:numId w:val="8"/>
        </w:numPr>
        <w:spacing w:before="120"/>
        <w:jc w:val="both"/>
        <w:rPr>
          <w:rFonts w:ascii="Arial" w:hAnsi="Arial"/>
          <w:sz w:val="24"/>
        </w:rPr>
      </w:pPr>
      <w:r>
        <w:rPr>
          <w:rFonts w:ascii="Arial" w:hAnsi="Arial"/>
          <w:sz w:val="24"/>
        </w:rPr>
        <w:t>Land is located adjoining the existing IN1 General Industrial zone;</w:t>
      </w:r>
    </w:p>
    <w:p w:rsidR="00D42AB6" w:rsidRDefault="000506DB" w:rsidP="00D42AB6">
      <w:pPr>
        <w:pStyle w:val="PlainText"/>
        <w:numPr>
          <w:ilvl w:val="0"/>
          <w:numId w:val="8"/>
        </w:numPr>
        <w:spacing w:before="120"/>
        <w:jc w:val="both"/>
        <w:rPr>
          <w:rFonts w:ascii="Arial" w:hAnsi="Arial"/>
          <w:sz w:val="24"/>
        </w:rPr>
      </w:pPr>
      <w:r>
        <w:rPr>
          <w:rFonts w:ascii="Arial" w:hAnsi="Arial"/>
          <w:sz w:val="24"/>
        </w:rPr>
        <w:t>Two of the three lots have</w:t>
      </w:r>
      <w:r w:rsidR="00D42AB6">
        <w:rPr>
          <w:rFonts w:ascii="Arial" w:hAnsi="Arial"/>
          <w:sz w:val="24"/>
        </w:rPr>
        <w:t xml:space="preserve"> frontage to a regional road which is a B double and road train route;</w:t>
      </w:r>
    </w:p>
    <w:p w:rsidR="00D42AB6" w:rsidRDefault="00D42AB6" w:rsidP="00D42AB6">
      <w:pPr>
        <w:pStyle w:val="PlainText"/>
        <w:numPr>
          <w:ilvl w:val="0"/>
          <w:numId w:val="8"/>
        </w:numPr>
        <w:spacing w:before="120"/>
        <w:jc w:val="both"/>
        <w:rPr>
          <w:rFonts w:ascii="Arial" w:hAnsi="Arial"/>
          <w:sz w:val="24"/>
        </w:rPr>
      </w:pPr>
      <w:r>
        <w:rPr>
          <w:rFonts w:ascii="Arial" w:hAnsi="Arial"/>
          <w:sz w:val="24"/>
        </w:rPr>
        <w:t>Land is within the vicinity of water and sewer infrastructure;</w:t>
      </w:r>
      <w:r w:rsidR="00421DBF">
        <w:rPr>
          <w:rFonts w:ascii="Arial" w:hAnsi="Arial"/>
          <w:sz w:val="24"/>
        </w:rPr>
        <w:t xml:space="preserve"> and</w:t>
      </w:r>
    </w:p>
    <w:p w:rsidR="00421DBF" w:rsidRDefault="00421DBF" w:rsidP="00D42AB6">
      <w:pPr>
        <w:pStyle w:val="PlainText"/>
        <w:numPr>
          <w:ilvl w:val="0"/>
          <w:numId w:val="8"/>
        </w:numPr>
        <w:spacing w:before="120"/>
        <w:jc w:val="both"/>
        <w:rPr>
          <w:rFonts w:ascii="Arial" w:hAnsi="Arial"/>
          <w:sz w:val="24"/>
        </w:rPr>
      </w:pPr>
      <w:r>
        <w:rPr>
          <w:rFonts w:ascii="Arial" w:hAnsi="Arial"/>
          <w:sz w:val="24"/>
        </w:rPr>
        <w:t>Size of holding.</w:t>
      </w:r>
    </w:p>
    <w:p w:rsidR="0043513D" w:rsidRDefault="00A413AC" w:rsidP="00877EBD">
      <w:pPr>
        <w:pStyle w:val="PlainText"/>
        <w:spacing w:before="120"/>
        <w:ind w:left="720"/>
        <w:jc w:val="both"/>
        <w:rPr>
          <w:rFonts w:ascii="Arial" w:hAnsi="Arial"/>
          <w:b/>
          <w:smallCaps/>
          <w:sz w:val="24"/>
        </w:rPr>
      </w:pPr>
      <w:r>
        <w:rPr>
          <w:rFonts w:ascii="Arial" w:hAnsi="Arial"/>
          <w:b/>
          <w:smallCaps/>
          <w:sz w:val="24"/>
        </w:rPr>
        <w:t>Proposed Changes to the LEP 2013</w:t>
      </w:r>
    </w:p>
    <w:p w:rsidR="00887C99" w:rsidRPr="00EF73C3" w:rsidRDefault="00421DBF" w:rsidP="00887C99">
      <w:pPr>
        <w:pStyle w:val="PlainText"/>
        <w:spacing w:before="120"/>
        <w:ind w:left="720"/>
        <w:jc w:val="both"/>
        <w:rPr>
          <w:rFonts w:ascii="Arial" w:hAnsi="Arial" w:cs="Arial"/>
          <w:sz w:val="24"/>
          <w:szCs w:val="24"/>
        </w:rPr>
      </w:pPr>
      <w:r>
        <w:rPr>
          <w:rFonts w:ascii="Arial" w:hAnsi="Arial"/>
          <w:sz w:val="24"/>
        </w:rPr>
        <w:t>The planning controls under LEP 2013 for the subject site will be amended by changing the zone to IN1 General Industrial and removing the minimum lot size provisions.</w:t>
      </w:r>
    </w:p>
    <w:p w:rsidR="00CB3815" w:rsidRPr="00877EBD" w:rsidRDefault="00CB3815" w:rsidP="00CB3815">
      <w:pPr>
        <w:pStyle w:val="PlainText"/>
        <w:spacing w:before="120"/>
        <w:ind w:left="720"/>
        <w:jc w:val="both"/>
        <w:rPr>
          <w:rFonts w:ascii="Arial" w:hAnsi="Arial"/>
          <w:smallCaps/>
          <w:sz w:val="24"/>
        </w:rPr>
      </w:pPr>
      <w:r>
        <w:rPr>
          <w:rFonts w:ascii="Arial" w:hAnsi="Arial"/>
          <w:b/>
          <w:smallCaps/>
          <w:sz w:val="24"/>
        </w:rPr>
        <w:t>Planning Proposal</w:t>
      </w:r>
    </w:p>
    <w:p w:rsidR="001B3D9C" w:rsidRDefault="001B3D9C" w:rsidP="00335405">
      <w:pPr>
        <w:spacing w:before="120"/>
        <w:ind w:left="709"/>
        <w:jc w:val="both"/>
        <w:rPr>
          <w:szCs w:val="24"/>
        </w:rPr>
      </w:pPr>
      <w:r>
        <w:rPr>
          <w:szCs w:val="24"/>
        </w:rPr>
        <w:t>The planning proposal has been prepared in accordance with ‘</w:t>
      </w:r>
      <w:r w:rsidRPr="009E4E66">
        <w:rPr>
          <w:i/>
          <w:szCs w:val="24"/>
        </w:rPr>
        <w:t>A Guide to Preparing Planning Proposal</w:t>
      </w:r>
      <w:r>
        <w:rPr>
          <w:szCs w:val="24"/>
        </w:rPr>
        <w:t>’ (N</w:t>
      </w:r>
      <w:r w:rsidR="00531553">
        <w:rPr>
          <w:szCs w:val="24"/>
        </w:rPr>
        <w:t>SW Planning Infrastructure, 2016</w:t>
      </w:r>
      <w:r>
        <w:rPr>
          <w:szCs w:val="24"/>
        </w:rPr>
        <w:t xml:space="preserve">) and is </w:t>
      </w:r>
      <w:r w:rsidR="00B73C3D">
        <w:rPr>
          <w:szCs w:val="24"/>
        </w:rPr>
        <w:t>Attachment 2.</w:t>
      </w:r>
    </w:p>
    <w:p w:rsidR="00335405" w:rsidRDefault="00335405" w:rsidP="00335405">
      <w:pPr>
        <w:spacing w:before="120"/>
        <w:ind w:left="709"/>
        <w:jc w:val="both"/>
        <w:rPr>
          <w:b/>
          <w:smallCaps/>
          <w:szCs w:val="24"/>
        </w:rPr>
      </w:pPr>
      <w:r w:rsidRPr="00335405">
        <w:rPr>
          <w:b/>
          <w:smallCaps/>
          <w:szCs w:val="24"/>
        </w:rPr>
        <w:t>Public Participation</w:t>
      </w:r>
      <w:r>
        <w:rPr>
          <w:b/>
          <w:smallCaps/>
          <w:szCs w:val="24"/>
        </w:rPr>
        <w:t xml:space="preserve"> and Government Agency Consultation</w:t>
      </w:r>
    </w:p>
    <w:p w:rsidR="006B093A" w:rsidRDefault="006B093A" w:rsidP="006B093A">
      <w:pPr>
        <w:spacing w:after="120"/>
        <w:ind w:left="709"/>
        <w:jc w:val="both"/>
        <w:rPr>
          <w:szCs w:val="24"/>
        </w:rPr>
      </w:pPr>
      <w:r>
        <w:rPr>
          <w:szCs w:val="24"/>
        </w:rPr>
        <w:t xml:space="preserve">In accordance with section 57 of the Environmental Planning and Assessment Act, it is proposed to exhibit the planning proposal for 14 days in the local media and on Council’s website.  </w:t>
      </w:r>
      <w:r w:rsidR="00531553">
        <w:rPr>
          <w:szCs w:val="24"/>
        </w:rPr>
        <w:t>The adjoining property owners will be notified.</w:t>
      </w:r>
    </w:p>
    <w:p w:rsidR="003F165F" w:rsidRPr="00877EBD" w:rsidRDefault="003F165F" w:rsidP="008D1379">
      <w:pPr>
        <w:pStyle w:val="PlainText"/>
        <w:spacing w:before="240"/>
        <w:ind w:left="720"/>
        <w:jc w:val="both"/>
        <w:rPr>
          <w:rFonts w:ascii="Arial" w:hAnsi="Arial"/>
          <w:b/>
          <w:smallCaps/>
          <w:sz w:val="24"/>
        </w:rPr>
      </w:pPr>
      <w:r w:rsidRPr="00877EBD">
        <w:rPr>
          <w:rFonts w:ascii="Arial" w:hAnsi="Arial"/>
          <w:b/>
          <w:smallCaps/>
          <w:sz w:val="24"/>
        </w:rPr>
        <w:lastRenderedPageBreak/>
        <w:t>Strategic Implications</w:t>
      </w:r>
      <w:r w:rsidR="008D1379">
        <w:rPr>
          <w:rFonts w:ascii="Arial" w:hAnsi="Arial"/>
          <w:b/>
          <w:smallCaps/>
          <w:sz w:val="24"/>
        </w:rPr>
        <w:t>:</w:t>
      </w:r>
    </w:p>
    <w:p w:rsidR="003F165F" w:rsidRDefault="001B3D9C" w:rsidP="00877EBD">
      <w:pPr>
        <w:pStyle w:val="PlainText"/>
        <w:spacing w:before="120"/>
        <w:ind w:left="720"/>
        <w:jc w:val="both"/>
        <w:rPr>
          <w:rFonts w:ascii="Arial" w:hAnsi="Arial"/>
          <w:sz w:val="24"/>
        </w:rPr>
      </w:pPr>
      <w:r>
        <w:rPr>
          <w:rFonts w:ascii="Arial" w:hAnsi="Arial"/>
          <w:sz w:val="24"/>
        </w:rPr>
        <w:t>An amendment to LEP 2013 is required to achieve the objectives of the planning proposal.</w:t>
      </w:r>
    </w:p>
    <w:p w:rsidR="003F165F" w:rsidRPr="00877EBD" w:rsidRDefault="003F165F" w:rsidP="008D1379">
      <w:pPr>
        <w:pStyle w:val="PlainText"/>
        <w:spacing w:before="240"/>
        <w:ind w:left="720"/>
        <w:jc w:val="both"/>
        <w:rPr>
          <w:rFonts w:ascii="Arial" w:hAnsi="Arial"/>
          <w:b/>
          <w:smallCaps/>
          <w:sz w:val="24"/>
        </w:rPr>
      </w:pPr>
      <w:r w:rsidRPr="00877EBD">
        <w:rPr>
          <w:rFonts w:ascii="Arial" w:hAnsi="Arial"/>
          <w:b/>
          <w:smallCaps/>
          <w:sz w:val="24"/>
        </w:rPr>
        <w:t>Budgetary Implications</w:t>
      </w:r>
      <w:r w:rsidR="008D1379">
        <w:rPr>
          <w:rFonts w:ascii="Arial" w:hAnsi="Arial"/>
          <w:b/>
          <w:smallCaps/>
          <w:sz w:val="24"/>
        </w:rPr>
        <w:t>:</w:t>
      </w:r>
    </w:p>
    <w:p w:rsidR="00AC572E" w:rsidRDefault="00D608E4" w:rsidP="00877EBD">
      <w:pPr>
        <w:pStyle w:val="PlainText"/>
        <w:spacing w:before="120"/>
        <w:ind w:left="720"/>
        <w:jc w:val="both"/>
        <w:rPr>
          <w:rFonts w:ascii="Arial" w:hAnsi="Arial"/>
          <w:sz w:val="24"/>
        </w:rPr>
      </w:pPr>
      <w:r>
        <w:rPr>
          <w:rFonts w:ascii="Arial" w:hAnsi="Arial"/>
          <w:sz w:val="24"/>
        </w:rPr>
        <w:t>Nil.</w:t>
      </w:r>
    </w:p>
    <w:p w:rsidR="003F165F" w:rsidRPr="00877EBD" w:rsidRDefault="003F165F" w:rsidP="008D1379">
      <w:pPr>
        <w:pStyle w:val="PlainText"/>
        <w:spacing w:before="240"/>
        <w:ind w:left="720"/>
        <w:jc w:val="both"/>
        <w:rPr>
          <w:rFonts w:ascii="Arial" w:hAnsi="Arial"/>
          <w:b/>
          <w:smallCaps/>
          <w:sz w:val="24"/>
        </w:rPr>
      </w:pPr>
      <w:r w:rsidRPr="00877EBD">
        <w:rPr>
          <w:rFonts w:ascii="Arial" w:hAnsi="Arial"/>
          <w:b/>
          <w:smallCaps/>
          <w:sz w:val="24"/>
        </w:rPr>
        <w:t>Policy Implications</w:t>
      </w:r>
      <w:r w:rsidR="008D1379">
        <w:rPr>
          <w:rFonts w:ascii="Arial" w:hAnsi="Arial"/>
          <w:b/>
          <w:smallCaps/>
          <w:sz w:val="24"/>
        </w:rPr>
        <w:t>:</w:t>
      </w:r>
    </w:p>
    <w:p w:rsidR="003F165F" w:rsidRDefault="00B42E14" w:rsidP="00877EBD">
      <w:pPr>
        <w:pStyle w:val="PlainText"/>
        <w:spacing w:before="120"/>
        <w:ind w:left="720"/>
        <w:jc w:val="both"/>
        <w:rPr>
          <w:rFonts w:ascii="Arial" w:hAnsi="Arial"/>
          <w:sz w:val="24"/>
        </w:rPr>
      </w:pPr>
      <w:r>
        <w:rPr>
          <w:rFonts w:ascii="Arial" w:hAnsi="Arial"/>
          <w:sz w:val="24"/>
        </w:rPr>
        <w:t>Nil.</w:t>
      </w:r>
    </w:p>
    <w:p w:rsidR="003F165F" w:rsidRPr="00877EBD" w:rsidRDefault="003F165F" w:rsidP="008D1379">
      <w:pPr>
        <w:pStyle w:val="PlainText"/>
        <w:spacing w:before="240"/>
        <w:ind w:left="720"/>
        <w:jc w:val="both"/>
        <w:rPr>
          <w:rFonts w:ascii="Arial" w:hAnsi="Arial"/>
          <w:b/>
          <w:smallCaps/>
          <w:sz w:val="24"/>
        </w:rPr>
      </w:pPr>
      <w:r w:rsidRPr="00877EBD">
        <w:rPr>
          <w:rFonts w:ascii="Arial" w:hAnsi="Arial"/>
          <w:b/>
          <w:smallCaps/>
          <w:sz w:val="24"/>
        </w:rPr>
        <w:t>Legislative Implications</w:t>
      </w:r>
      <w:r w:rsidR="00405C74">
        <w:rPr>
          <w:rFonts w:ascii="Arial" w:hAnsi="Arial"/>
          <w:b/>
          <w:smallCaps/>
          <w:sz w:val="24"/>
        </w:rPr>
        <w:t>:</w:t>
      </w:r>
    </w:p>
    <w:p w:rsidR="003F165F" w:rsidRDefault="00224F95" w:rsidP="00877EBD">
      <w:pPr>
        <w:pStyle w:val="PlainText"/>
        <w:spacing w:before="120"/>
        <w:ind w:left="720"/>
        <w:jc w:val="both"/>
        <w:rPr>
          <w:rFonts w:ascii="Arial" w:hAnsi="Arial"/>
          <w:sz w:val="24"/>
        </w:rPr>
      </w:pPr>
      <w:r>
        <w:rPr>
          <w:rFonts w:ascii="Arial" w:hAnsi="Arial"/>
          <w:sz w:val="24"/>
        </w:rPr>
        <w:t xml:space="preserve">To amend the LEP 2013 a planning proposal must be prepared in accordance with section 55 of the Environmental Planning and Assessment Act (the Act).  This planning proposal is then forwarded to the Department of Planning in accordance with section 56(1) of the Act and a gateway determination is then issued in accordance with section 56(2).  </w:t>
      </w:r>
    </w:p>
    <w:p w:rsidR="00224F95" w:rsidRDefault="00224F95" w:rsidP="00224F95">
      <w:pPr>
        <w:pStyle w:val="PlainText"/>
        <w:spacing w:before="120"/>
        <w:ind w:left="709"/>
        <w:jc w:val="both"/>
        <w:rPr>
          <w:rFonts w:ascii="Arial" w:hAnsi="Arial"/>
          <w:sz w:val="24"/>
        </w:rPr>
      </w:pPr>
      <w:r>
        <w:rPr>
          <w:rFonts w:ascii="Arial" w:hAnsi="Arial"/>
          <w:sz w:val="24"/>
        </w:rPr>
        <w:t xml:space="preserve">Council will </w:t>
      </w:r>
      <w:r w:rsidR="00674242">
        <w:rPr>
          <w:rFonts w:ascii="Arial" w:hAnsi="Arial"/>
          <w:sz w:val="24"/>
        </w:rPr>
        <w:t>request that the plan making delegations functions be delegated to Council due to the minor nature of the planning proposal.</w:t>
      </w:r>
      <w:r w:rsidR="00AC572E">
        <w:rPr>
          <w:rFonts w:ascii="Arial" w:hAnsi="Arial"/>
          <w:sz w:val="24"/>
        </w:rPr>
        <w:t xml:space="preserve">  A copy of the request for the delegation of plan making functions to Council is attached.</w:t>
      </w:r>
    </w:p>
    <w:p w:rsidR="003F165F" w:rsidRPr="00877EBD" w:rsidRDefault="003F165F" w:rsidP="008D1379">
      <w:pPr>
        <w:pStyle w:val="PlainText"/>
        <w:spacing w:before="240"/>
        <w:ind w:left="720"/>
        <w:jc w:val="both"/>
        <w:rPr>
          <w:rFonts w:ascii="Arial" w:hAnsi="Arial"/>
          <w:b/>
          <w:smallCaps/>
          <w:sz w:val="24"/>
        </w:rPr>
      </w:pPr>
      <w:r w:rsidRPr="00877EBD">
        <w:rPr>
          <w:rFonts w:ascii="Arial" w:hAnsi="Arial"/>
          <w:b/>
          <w:smallCaps/>
          <w:sz w:val="24"/>
        </w:rPr>
        <w:t>Risk Assessment</w:t>
      </w:r>
      <w:r w:rsidR="00405C74">
        <w:rPr>
          <w:rFonts w:ascii="Arial" w:hAnsi="Arial"/>
          <w:b/>
          <w:smallCaps/>
          <w:sz w:val="24"/>
        </w:rPr>
        <w:t>:</w:t>
      </w:r>
    </w:p>
    <w:p w:rsidR="003F165F" w:rsidRPr="008D1379" w:rsidRDefault="003F165F" w:rsidP="00877EBD">
      <w:pPr>
        <w:pStyle w:val="PlainText"/>
        <w:spacing w:before="120"/>
        <w:ind w:left="720"/>
        <w:jc w:val="both"/>
        <w:rPr>
          <w:rFonts w:ascii="Arial" w:hAnsi="Arial"/>
          <w:b/>
          <w:i/>
          <w:sz w:val="24"/>
        </w:rPr>
      </w:pPr>
      <w:r w:rsidRPr="008D1379">
        <w:rPr>
          <w:rFonts w:ascii="Arial" w:hAnsi="Arial"/>
          <w:b/>
          <w:i/>
          <w:sz w:val="24"/>
        </w:rPr>
        <w:t>What can happen?</w:t>
      </w:r>
    </w:p>
    <w:p w:rsidR="003F165F" w:rsidRPr="008D1379" w:rsidRDefault="00531553" w:rsidP="00877EBD">
      <w:pPr>
        <w:pStyle w:val="PlainText"/>
        <w:spacing w:before="120"/>
        <w:ind w:left="720"/>
        <w:jc w:val="both"/>
        <w:rPr>
          <w:rFonts w:ascii="Arial" w:hAnsi="Arial"/>
          <w:sz w:val="24"/>
        </w:rPr>
      </w:pPr>
      <w:r>
        <w:rPr>
          <w:rFonts w:ascii="Arial" w:hAnsi="Arial"/>
          <w:sz w:val="24"/>
        </w:rPr>
        <w:t>Land can be rezoned to allow for industrial development</w:t>
      </w:r>
      <w:r w:rsidR="00B73C3D">
        <w:rPr>
          <w:rFonts w:ascii="Arial" w:hAnsi="Arial"/>
          <w:sz w:val="24"/>
        </w:rPr>
        <w:t>.</w:t>
      </w:r>
    </w:p>
    <w:p w:rsidR="003F165F" w:rsidRPr="008D1379" w:rsidRDefault="003F165F" w:rsidP="00877EBD">
      <w:pPr>
        <w:pStyle w:val="PlainText"/>
        <w:spacing w:before="120"/>
        <w:ind w:left="720"/>
        <w:jc w:val="both"/>
        <w:rPr>
          <w:rFonts w:ascii="Arial" w:hAnsi="Arial"/>
          <w:b/>
          <w:i/>
          <w:sz w:val="24"/>
        </w:rPr>
      </w:pPr>
      <w:r w:rsidRPr="008D1379">
        <w:rPr>
          <w:rFonts w:ascii="Arial" w:hAnsi="Arial"/>
          <w:b/>
          <w:i/>
          <w:sz w:val="24"/>
        </w:rPr>
        <w:t>How can it happen?</w:t>
      </w:r>
    </w:p>
    <w:p w:rsidR="003F165F" w:rsidRDefault="00AC572E" w:rsidP="00877EBD">
      <w:pPr>
        <w:pStyle w:val="PlainText"/>
        <w:spacing w:before="120"/>
        <w:ind w:left="720"/>
        <w:jc w:val="both"/>
        <w:rPr>
          <w:rFonts w:ascii="Arial" w:hAnsi="Arial"/>
          <w:sz w:val="24"/>
        </w:rPr>
      </w:pPr>
      <w:r>
        <w:rPr>
          <w:rFonts w:ascii="Arial" w:hAnsi="Arial"/>
          <w:sz w:val="24"/>
        </w:rPr>
        <w:t>By preparing a planning proposal.</w:t>
      </w:r>
    </w:p>
    <w:p w:rsidR="003F165F" w:rsidRPr="008D1379" w:rsidRDefault="003F165F" w:rsidP="00877EBD">
      <w:pPr>
        <w:pStyle w:val="PlainText"/>
        <w:spacing w:before="120"/>
        <w:ind w:left="720"/>
        <w:jc w:val="both"/>
        <w:rPr>
          <w:rFonts w:ascii="Arial" w:hAnsi="Arial"/>
          <w:b/>
          <w:i/>
          <w:sz w:val="24"/>
        </w:rPr>
      </w:pPr>
      <w:r w:rsidRPr="008D1379">
        <w:rPr>
          <w:rFonts w:ascii="Arial" w:hAnsi="Arial"/>
          <w:b/>
          <w:i/>
          <w:sz w:val="24"/>
        </w:rPr>
        <w:t>What are the consequences of the event happening?</w:t>
      </w:r>
    </w:p>
    <w:p w:rsidR="003F165F" w:rsidRDefault="00531553" w:rsidP="00335405">
      <w:pPr>
        <w:pStyle w:val="PlainText"/>
        <w:spacing w:before="120"/>
        <w:ind w:left="709"/>
        <w:jc w:val="both"/>
        <w:rPr>
          <w:rFonts w:ascii="Arial" w:hAnsi="Arial"/>
          <w:sz w:val="24"/>
        </w:rPr>
      </w:pPr>
      <w:r>
        <w:rPr>
          <w:rFonts w:ascii="Arial" w:hAnsi="Arial"/>
          <w:sz w:val="24"/>
        </w:rPr>
        <w:t>LEP 2013 would be amended.</w:t>
      </w:r>
    </w:p>
    <w:p w:rsidR="003F165F" w:rsidRPr="008D1379" w:rsidRDefault="003F165F" w:rsidP="00877EBD">
      <w:pPr>
        <w:pStyle w:val="PlainText"/>
        <w:spacing w:before="120"/>
        <w:ind w:left="720"/>
        <w:jc w:val="both"/>
        <w:rPr>
          <w:rFonts w:ascii="Arial" w:hAnsi="Arial"/>
          <w:b/>
          <w:i/>
          <w:sz w:val="24"/>
        </w:rPr>
      </w:pPr>
      <w:r w:rsidRPr="008D1379">
        <w:rPr>
          <w:rFonts w:ascii="Arial" w:hAnsi="Arial"/>
          <w:b/>
          <w:i/>
          <w:sz w:val="24"/>
        </w:rPr>
        <w:t>What is the likelihood of the event happening?</w:t>
      </w:r>
    </w:p>
    <w:p w:rsidR="003F165F" w:rsidRDefault="00D608E4" w:rsidP="00877EBD">
      <w:pPr>
        <w:pStyle w:val="PlainText"/>
        <w:spacing w:before="120"/>
        <w:ind w:left="720"/>
        <w:jc w:val="both"/>
        <w:rPr>
          <w:rFonts w:ascii="Arial" w:hAnsi="Arial"/>
          <w:sz w:val="24"/>
        </w:rPr>
      </w:pPr>
      <w:r>
        <w:rPr>
          <w:rFonts w:ascii="Arial" w:hAnsi="Arial"/>
          <w:sz w:val="24"/>
        </w:rPr>
        <w:t xml:space="preserve">High.  </w:t>
      </w:r>
    </w:p>
    <w:p w:rsidR="003F165F" w:rsidRPr="008D1379" w:rsidRDefault="003F165F" w:rsidP="00877EBD">
      <w:pPr>
        <w:pStyle w:val="PlainText"/>
        <w:spacing w:before="120"/>
        <w:ind w:left="720"/>
        <w:jc w:val="both"/>
        <w:rPr>
          <w:rFonts w:ascii="Arial" w:hAnsi="Arial"/>
          <w:b/>
          <w:i/>
          <w:sz w:val="24"/>
        </w:rPr>
      </w:pPr>
      <w:r w:rsidRPr="008D1379">
        <w:rPr>
          <w:rFonts w:ascii="Arial" w:hAnsi="Arial"/>
          <w:b/>
          <w:i/>
          <w:sz w:val="24"/>
        </w:rPr>
        <w:t>Adequacy of existing controls?</w:t>
      </w:r>
    </w:p>
    <w:p w:rsidR="003F165F" w:rsidRDefault="00531553" w:rsidP="00877EBD">
      <w:pPr>
        <w:pStyle w:val="PlainText"/>
        <w:spacing w:before="120"/>
        <w:ind w:left="720"/>
        <w:jc w:val="both"/>
        <w:rPr>
          <w:rFonts w:ascii="Arial" w:hAnsi="Arial"/>
          <w:sz w:val="24"/>
        </w:rPr>
      </w:pPr>
      <w:r>
        <w:rPr>
          <w:rFonts w:ascii="Arial" w:hAnsi="Arial"/>
          <w:sz w:val="24"/>
        </w:rPr>
        <w:t>An amendment is required to achieve the objectives of the planning proposal.</w:t>
      </w:r>
    </w:p>
    <w:p w:rsidR="003F165F" w:rsidRPr="008D1379" w:rsidRDefault="003F165F" w:rsidP="00877EBD">
      <w:pPr>
        <w:pStyle w:val="PlainText"/>
        <w:spacing w:before="120"/>
        <w:ind w:left="720"/>
        <w:jc w:val="both"/>
        <w:rPr>
          <w:rFonts w:ascii="Arial" w:hAnsi="Arial"/>
          <w:b/>
          <w:i/>
          <w:sz w:val="24"/>
        </w:rPr>
      </w:pPr>
      <w:r w:rsidRPr="008D1379">
        <w:rPr>
          <w:rFonts w:ascii="Arial" w:hAnsi="Arial"/>
          <w:b/>
          <w:i/>
          <w:sz w:val="24"/>
        </w:rPr>
        <w:t>Treatment options to mitigate the risk?</w:t>
      </w:r>
    </w:p>
    <w:p w:rsidR="003F165F" w:rsidRDefault="00AC572E" w:rsidP="00877EBD">
      <w:pPr>
        <w:pStyle w:val="PlainText"/>
        <w:spacing w:before="120"/>
        <w:ind w:left="720"/>
        <w:jc w:val="both"/>
        <w:rPr>
          <w:rFonts w:ascii="Arial" w:hAnsi="Arial"/>
          <w:sz w:val="24"/>
        </w:rPr>
      </w:pPr>
      <w:r>
        <w:rPr>
          <w:rFonts w:ascii="Arial" w:hAnsi="Arial"/>
          <w:sz w:val="24"/>
        </w:rPr>
        <w:t>Prepare a planning proposal.</w:t>
      </w:r>
    </w:p>
    <w:p w:rsidR="008D1379" w:rsidRDefault="008D1379" w:rsidP="008D1379">
      <w:pPr>
        <w:pStyle w:val="PlainText"/>
        <w:tabs>
          <w:tab w:val="left" w:pos="567"/>
        </w:tabs>
        <w:spacing w:before="360"/>
        <w:ind w:left="720"/>
        <w:jc w:val="both"/>
        <w:rPr>
          <w:rFonts w:ascii="Arial" w:hAnsi="Arial"/>
          <w:b/>
          <w:smallCaps/>
          <w:sz w:val="24"/>
        </w:rPr>
      </w:pPr>
      <w:r>
        <w:rPr>
          <w:rFonts w:ascii="Arial" w:hAnsi="Arial"/>
          <w:b/>
          <w:smallCaps/>
          <w:sz w:val="24"/>
        </w:rPr>
        <w:t>Conclusion:</w:t>
      </w:r>
    </w:p>
    <w:p w:rsidR="008D1379" w:rsidRPr="008D1379" w:rsidRDefault="00AC572E" w:rsidP="008D1379">
      <w:pPr>
        <w:pStyle w:val="PlainText"/>
        <w:tabs>
          <w:tab w:val="left" w:pos="567"/>
        </w:tabs>
        <w:spacing w:before="120"/>
        <w:ind w:left="720"/>
        <w:jc w:val="both"/>
        <w:rPr>
          <w:rFonts w:ascii="Arial" w:hAnsi="Arial"/>
          <w:sz w:val="24"/>
        </w:rPr>
      </w:pPr>
      <w:r>
        <w:rPr>
          <w:rFonts w:ascii="Arial" w:hAnsi="Arial"/>
          <w:sz w:val="24"/>
        </w:rPr>
        <w:t>Council should submit the planning proposal to the Department for a gateway determination.</w:t>
      </w:r>
    </w:p>
    <w:p w:rsidR="00877EBD" w:rsidRPr="00877EBD" w:rsidRDefault="00877EBD" w:rsidP="00027E61">
      <w:pPr>
        <w:pStyle w:val="PlainText"/>
        <w:tabs>
          <w:tab w:val="left" w:pos="567"/>
        </w:tabs>
        <w:spacing w:before="480"/>
        <w:ind w:left="720"/>
        <w:jc w:val="both"/>
        <w:rPr>
          <w:rFonts w:ascii="Arial" w:hAnsi="Arial"/>
          <w:b/>
          <w:smallCaps/>
          <w:sz w:val="24"/>
        </w:rPr>
      </w:pPr>
      <w:r w:rsidRPr="00877EBD">
        <w:rPr>
          <w:rFonts w:ascii="Arial" w:hAnsi="Arial"/>
          <w:b/>
          <w:smallCaps/>
          <w:sz w:val="24"/>
        </w:rPr>
        <w:t>Attachments:</w:t>
      </w:r>
    </w:p>
    <w:p w:rsidR="00877EBD" w:rsidRDefault="00531553" w:rsidP="00877EBD">
      <w:pPr>
        <w:pStyle w:val="PlainText"/>
        <w:numPr>
          <w:ilvl w:val="0"/>
          <w:numId w:val="1"/>
        </w:numPr>
        <w:tabs>
          <w:tab w:val="left" w:pos="567"/>
        </w:tabs>
        <w:spacing w:before="120"/>
        <w:jc w:val="both"/>
        <w:rPr>
          <w:rFonts w:ascii="Arial" w:hAnsi="Arial"/>
          <w:sz w:val="24"/>
        </w:rPr>
      </w:pPr>
      <w:r>
        <w:rPr>
          <w:rFonts w:ascii="Arial" w:hAnsi="Arial"/>
          <w:sz w:val="24"/>
        </w:rPr>
        <w:t>Request from landowner – 1 page</w:t>
      </w:r>
    </w:p>
    <w:p w:rsidR="00B73C3D" w:rsidRDefault="00B73C3D" w:rsidP="00877EBD">
      <w:pPr>
        <w:pStyle w:val="PlainText"/>
        <w:numPr>
          <w:ilvl w:val="0"/>
          <w:numId w:val="1"/>
        </w:numPr>
        <w:tabs>
          <w:tab w:val="left" w:pos="567"/>
        </w:tabs>
        <w:spacing w:before="120"/>
        <w:jc w:val="both"/>
        <w:rPr>
          <w:rFonts w:ascii="Arial" w:hAnsi="Arial"/>
          <w:sz w:val="24"/>
        </w:rPr>
      </w:pPr>
      <w:r>
        <w:rPr>
          <w:rFonts w:ascii="Arial" w:hAnsi="Arial"/>
          <w:sz w:val="24"/>
        </w:rPr>
        <w:t>Planning Proposal</w:t>
      </w:r>
      <w:r w:rsidR="00531553">
        <w:rPr>
          <w:rFonts w:ascii="Arial" w:hAnsi="Arial"/>
          <w:sz w:val="24"/>
        </w:rPr>
        <w:t xml:space="preserve"> – 13 </w:t>
      </w:r>
      <w:r w:rsidR="00C23FE7">
        <w:rPr>
          <w:rFonts w:ascii="Arial" w:hAnsi="Arial"/>
          <w:sz w:val="24"/>
        </w:rPr>
        <w:t>pages</w:t>
      </w:r>
    </w:p>
    <w:p w:rsidR="00877EBD" w:rsidRDefault="00F31392" w:rsidP="00877EBD">
      <w:pPr>
        <w:pStyle w:val="PlainText"/>
        <w:numPr>
          <w:ilvl w:val="0"/>
          <w:numId w:val="1"/>
        </w:numPr>
        <w:tabs>
          <w:tab w:val="left" w:pos="567"/>
        </w:tabs>
        <w:spacing w:before="120"/>
        <w:jc w:val="both"/>
        <w:rPr>
          <w:rFonts w:ascii="Arial" w:hAnsi="Arial"/>
          <w:sz w:val="24"/>
        </w:rPr>
      </w:pPr>
      <w:r>
        <w:rPr>
          <w:rFonts w:ascii="Arial" w:hAnsi="Arial"/>
          <w:sz w:val="24"/>
        </w:rPr>
        <w:t>Evaluation Criteria for the Delegation of Plan Making Functions</w:t>
      </w:r>
      <w:r w:rsidR="00F21D4F">
        <w:rPr>
          <w:rFonts w:ascii="Arial" w:hAnsi="Arial"/>
          <w:sz w:val="24"/>
        </w:rPr>
        <w:t xml:space="preserve"> – </w:t>
      </w:r>
      <w:r w:rsidR="009E4E66">
        <w:rPr>
          <w:rFonts w:ascii="Arial" w:hAnsi="Arial"/>
          <w:sz w:val="24"/>
        </w:rPr>
        <w:t>4</w:t>
      </w:r>
      <w:r w:rsidR="00287B43">
        <w:rPr>
          <w:rFonts w:ascii="Arial" w:hAnsi="Arial"/>
          <w:sz w:val="24"/>
        </w:rPr>
        <w:t xml:space="preserve"> </w:t>
      </w:r>
      <w:r w:rsidR="00F21D4F">
        <w:rPr>
          <w:rFonts w:ascii="Arial" w:hAnsi="Arial"/>
          <w:sz w:val="24"/>
        </w:rPr>
        <w:t>pages</w:t>
      </w:r>
    </w:p>
    <w:p w:rsidR="003F165F" w:rsidRDefault="003F165F" w:rsidP="00877EBD">
      <w:pPr>
        <w:pBdr>
          <w:bottom w:val="double" w:sz="4" w:space="1" w:color="auto"/>
        </w:pBdr>
        <w:tabs>
          <w:tab w:val="left" w:pos="567"/>
        </w:tabs>
      </w:pPr>
    </w:p>
    <w:p w:rsidR="00405C74" w:rsidRDefault="00405C74" w:rsidP="00877EBD"/>
    <w:sectPr w:rsidR="00405C74" w:rsidSect="00174B6F">
      <w:pgSz w:w="11906" w:h="16838" w:code="9"/>
      <w:pgMar w:top="720" w:right="1440" w:bottom="578"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DBF" w:rsidRDefault="00421DBF">
      <w:r>
        <w:separator/>
      </w:r>
    </w:p>
  </w:endnote>
  <w:endnote w:type="continuationSeparator" w:id="0">
    <w:p w:rsidR="00421DBF" w:rsidRDefault="00421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DBF" w:rsidRDefault="00421DBF">
      <w:r>
        <w:separator/>
      </w:r>
    </w:p>
  </w:footnote>
  <w:footnote w:type="continuationSeparator" w:id="0">
    <w:p w:rsidR="00421DBF" w:rsidRDefault="00421D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20793"/>
    <w:multiLevelType w:val="hybridMultilevel"/>
    <w:tmpl w:val="9116957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DF1655"/>
    <w:multiLevelType w:val="hybridMultilevel"/>
    <w:tmpl w:val="FC8AE076"/>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27BB6883"/>
    <w:multiLevelType w:val="hybridMultilevel"/>
    <w:tmpl w:val="4B822E06"/>
    <w:lvl w:ilvl="0" w:tplc="0C090005">
      <w:start w:val="1"/>
      <w:numFmt w:val="bullet"/>
      <w:lvlText w:val=""/>
      <w:lvlJc w:val="left"/>
      <w:pPr>
        <w:ind w:left="1429" w:hanging="360"/>
      </w:pPr>
      <w:rPr>
        <w:rFonts w:ascii="Wingdings" w:hAnsi="Wingdings"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 w15:restartNumberingAfterBreak="0">
    <w:nsid w:val="3F067E83"/>
    <w:multiLevelType w:val="hybridMultilevel"/>
    <w:tmpl w:val="EC6A4D28"/>
    <w:lvl w:ilvl="0" w:tplc="A38A7632">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4" w15:restartNumberingAfterBreak="0">
    <w:nsid w:val="51056D59"/>
    <w:multiLevelType w:val="hybridMultilevel"/>
    <w:tmpl w:val="5156D800"/>
    <w:lvl w:ilvl="0" w:tplc="15BAF1F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537B58C1"/>
    <w:multiLevelType w:val="hybridMultilevel"/>
    <w:tmpl w:val="8F8A286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 w15:restartNumberingAfterBreak="0">
    <w:nsid w:val="56BD6C06"/>
    <w:multiLevelType w:val="hybridMultilevel"/>
    <w:tmpl w:val="BD4C94FA"/>
    <w:lvl w:ilvl="0" w:tplc="0C090005">
      <w:start w:val="1"/>
      <w:numFmt w:val="bullet"/>
      <w:lvlText w:val=""/>
      <w:lvlJc w:val="left"/>
      <w:pPr>
        <w:ind w:left="1429" w:hanging="360"/>
      </w:pPr>
      <w:rPr>
        <w:rFonts w:ascii="Wingdings" w:hAnsi="Wingdings"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15:restartNumberingAfterBreak="0">
    <w:nsid w:val="70D2713B"/>
    <w:multiLevelType w:val="hybridMultilevel"/>
    <w:tmpl w:val="94A2B8F0"/>
    <w:lvl w:ilvl="0" w:tplc="7C8A4A52">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num w:numId="1">
    <w:abstractNumId w:val="4"/>
  </w:num>
  <w:num w:numId="2">
    <w:abstractNumId w:val="2"/>
  </w:num>
  <w:num w:numId="3">
    <w:abstractNumId w:val="0"/>
  </w:num>
  <w:num w:numId="4">
    <w:abstractNumId w:val="5"/>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E61"/>
    <w:rsid w:val="00026CA3"/>
    <w:rsid w:val="00027E61"/>
    <w:rsid w:val="000506DB"/>
    <w:rsid w:val="000618FB"/>
    <w:rsid w:val="000A3005"/>
    <w:rsid w:val="000B7068"/>
    <w:rsid w:val="000D59A6"/>
    <w:rsid w:val="000D6053"/>
    <w:rsid w:val="000F3151"/>
    <w:rsid w:val="00120F11"/>
    <w:rsid w:val="0015641D"/>
    <w:rsid w:val="00174B6F"/>
    <w:rsid w:val="0019342C"/>
    <w:rsid w:val="001B0312"/>
    <w:rsid w:val="001B3D9C"/>
    <w:rsid w:val="001C004B"/>
    <w:rsid w:val="001E041D"/>
    <w:rsid w:val="00224F95"/>
    <w:rsid w:val="00287B43"/>
    <w:rsid w:val="002B14A6"/>
    <w:rsid w:val="002B5C01"/>
    <w:rsid w:val="002C7179"/>
    <w:rsid w:val="003205CC"/>
    <w:rsid w:val="00335405"/>
    <w:rsid w:val="0034260D"/>
    <w:rsid w:val="0034438C"/>
    <w:rsid w:val="003770C4"/>
    <w:rsid w:val="00386194"/>
    <w:rsid w:val="0039692B"/>
    <w:rsid w:val="003D0372"/>
    <w:rsid w:val="003D1B0C"/>
    <w:rsid w:val="003D7AD1"/>
    <w:rsid w:val="003F165F"/>
    <w:rsid w:val="00405C74"/>
    <w:rsid w:val="00417E3B"/>
    <w:rsid w:val="00421DBF"/>
    <w:rsid w:val="00427677"/>
    <w:rsid w:val="0043513D"/>
    <w:rsid w:val="00437A18"/>
    <w:rsid w:val="00453C92"/>
    <w:rsid w:val="004658A8"/>
    <w:rsid w:val="004A5D40"/>
    <w:rsid w:val="004B6EF1"/>
    <w:rsid w:val="004D1A33"/>
    <w:rsid w:val="00511617"/>
    <w:rsid w:val="00531553"/>
    <w:rsid w:val="00537030"/>
    <w:rsid w:val="00563517"/>
    <w:rsid w:val="00577A5B"/>
    <w:rsid w:val="00596D91"/>
    <w:rsid w:val="005B4860"/>
    <w:rsid w:val="005E476C"/>
    <w:rsid w:val="005E76A9"/>
    <w:rsid w:val="006125F6"/>
    <w:rsid w:val="00674242"/>
    <w:rsid w:val="006B093A"/>
    <w:rsid w:val="006E40A6"/>
    <w:rsid w:val="006E66A3"/>
    <w:rsid w:val="006F0AE0"/>
    <w:rsid w:val="00702FE3"/>
    <w:rsid w:val="00710972"/>
    <w:rsid w:val="00710DDF"/>
    <w:rsid w:val="00766CE3"/>
    <w:rsid w:val="0077094B"/>
    <w:rsid w:val="007B2D35"/>
    <w:rsid w:val="007C7027"/>
    <w:rsid w:val="007D1D86"/>
    <w:rsid w:val="00803D9D"/>
    <w:rsid w:val="008315BE"/>
    <w:rsid w:val="00837ECD"/>
    <w:rsid w:val="008424C8"/>
    <w:rsid w:val="00862910"/>
    <w:rsid w:val="00863163"/>
    <w:rsid w:val="00877EBD"/>
    <w:rsid w:val="00882FF3"/>
    <w:rsid w:val="0088355D"/>
    <w:rsid w:val="00887C99"/>
    <w:rsid w:val="008A409C"/>
    <w:rsid w:val="008A58B6"/>
    <w:rsid w:val="008D1379"/>
    <w:rsid w:val="009626C9"/>
    <w:rsid w:val="00975A32"/>
    <w:rsid w:val="009834D9"/>
    <w:rsid w:val="009C01B1"/>
    <w:rsid w:val="009D5CC9"/>
    <w:rsid w:val="009E4E66"/>
    <w:rsid w:val="00A01F16"/>
    <w:rsid w:val="00A057AC"/>
    <w:rsid w:val="00A0724F"/>
    <w:rsid w:val="00A14DCD"/>
    <w:rsid w:val="00A413AC"/>
    <w:rsid w:val="00AC572E"/>
    <w:rsid w:val="00AD1412"/>
    <w:rsid w:val="00AD179C"/>
    <w:rsid w:val="00B41D19"/>
    <w:rsid w:val="00B42E14"/>
    <w:rsid w:val="00B73C3D"/>
    <w:rsid w:val="00BB71F8"/>
    <w:rsid w:val="00BD311F"/>
    <w:rsid w:val="00C04FCF"/>
    <w:rsid w:val="00C23FE7"/>
    <w:rsid w:val="00CA41C7"/>
    <w:rsid w:val="00CB3815"/>
    <w:rsid w:val="00CC43C6"/>
    <w:rsid w:val="00CD68A3"/>
    <w:rsid w:val="00CF15A7"/>
    <w:rsid w:val="00D113DA"/>
    <w:rsid w:val="00D23932"/>
    <w:rsid w:val="00D42AB6"/>
    <w:rsid w:val="00D608E4"/>
    <w:rsid w:val="00D855FA"/>
    <w:rsid w:val="00DA6D72"/>
    <w:rsid w:val="00DE08E9"/>
    <w:rsid w:val="00DE3DBC"/>
    <w:rsid w:val="00DE75C9"/>
    <w:rsid w:val="00E124F3"/>
    <w:rsid w:val="00E15A10"/>
    <w:rsid w:val="00E4023B"/>
    <w:rsid w:val="00E57557"/>
    <w:rsid w:val="00E65DF1"/>
    <w:rsid w:val="00EC3981"/>
    <w:rsid w:val="00EF73C3"/>
    <w:rsid w:val="00F21D4F"/>
    <w:rsid w:val="00F23ECB"/>
    <w:rsid w:val="00F26B09"/>
    <w:rsid w:val="00F31392"/>
    <w:rsid w:val="00F35440"/>
    <w:rsid w:val="00F54019"/>
    <w:rsid w:val="00F808C0"/>
    <w:rsid w:val="00F9168B"/>
    <w:rsid w:val="00FA1077"/>
    <w:rsid w:val="00FB72FF"/>
    <w:rsid w:val="00FE36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52A28"/>
  <w15:docId w15:val="{6C55A08B-B743-447B-A1B5-78FF94275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14DCD"/>
    <w:rPr>
      <w:rFonts w:ascii="Arial" w:hAnsi="Arial"/>
      <w:sz w:val="24"/>
      <w:lang w:val="en-US" w:eastAsia="en-US"/>
    </w:rPr>
  </w:style>
  <w:style w:type="paragraph" w:styleId="Heading9">
    <w:name w:val="heading 9"/>
    <w:basedOn w:val="Normal"/>
    <w:next w:val="Normal"/>
    <w:qFormat/>
    <w:rsid w:val="00A14DCD"/>
    <w:pPr>
      <w:keepNext/>
      <w:ind w:left="2160" w:hanging="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A14DCD"/>
    <w:rPr>
      <w:rFonts w:ascii="Courier New" w:hAnsi="Courier New"/>
      <w:sz w:val="20"/>
      <w:lang w:val="en-AU"/>
    </w:rPr>
  </w:style>
  <w:style w:type="paragraph" w:styleId="Header">
    <w:name w:val="header"/>
    <w:basedOn w:val="Normal"/>
    <w:rsid w:val="00A14DCD"/>
    <w:pPr>
      <w:tabs>
        <w:tab w:val="center" w:pos="4320"/>
        <w:tab w:val="right" w:pos="8640"/>
      </w:tabs>
    </w:pPr>
  </w:style>
  <w:style w:type="paragraph" w:styleId="Footer">
    <w:name w:val="footer"/>
    <w:basedOn w:val="Normal"/>
    <w:rsid w:val="00A14DCD"/>
    <w:pPr>
      <w:tabs>
        <w:tab w:val="center" w:pos="4320"/>
        <w:tab w:val="right" w:pos="8640"/>
      </w:tabs>
    </w:pPr>
  </w:style>
  <w:style w:type="character" w:styleId="SubtleReference">
    <w:name w:val="Subtle Reference"/>
    <w:basedOn w:val="DefaultParagraphFont"/>
    <w:uiPriority w:val="31"/>
    <w:qFormat/>
    <w:rsid w:val="00CB3815"/>
    <w:rPr>
      <w:smallCaps/>
      <w:color w:val="C0504D" w:themeColor="accent2"/>
      <w:u w:val="single"/>
    </w:rPr>
  </w:style>
  <w:style w:type="character" w:styleId="BookTitle">
    <w:name w:val="Book Title"/>
    <w:basedOn w:val="DefaultParagraphFont"/>
    <w:uiPriority w:val="33"/>
    <w:qFormat/>
    <w:rsid w:val="00CB3815"/>
    <w:rPr>
      <w:b/>
      <w:bCs/>
      <w:smallCaps/>
      <w:spacing w:val="5"/>
    </w:rPr>
  </w:style>
  <w:style w:type="paragraph" w:styleId="ListParagraph">
    <w:name w:val="List Paragraph"/>
    <w:basedOn w:val="Normal"/>
    <w:uiPriority w:val="34"/>
    <w:qFormat/>
    <w:rsid w:val="00CB3815"/>
    <w:pPr>
      <w:ind w:left="720"/>
      <w:contextualSpacing/>
    </w:pPr>
  </w:style>
  <w:style w:type="character" w:customStyle="1" w:styleId="PlainTextChar">
    <w:name w:val="Plain Text Char"/>
    <w:basedOn w:val="DefaultParagraphFont"/>
    <w:link w:val="PlainText"/>
    <w:rsid w:val="00EC3981"/>
    <w:rPr>
      <w:rFonts w:ascii="Courier New" w:hAnsi="Courier New"/>
      <w:lang w:eastAsia="en-US"/>
    </w:rPr>
  </w:style>
  <w:style w:type="paragraph" w:styleId="BalloonText">
    <w:name w:val="Balloon Text"/>
    <w:basedOn w:val="Normal"/>
    <w:link w:val="BalloonTextChar"/>
    <w:rsid w:val="00DA6D72"/>
    <w:rPr>
      <w:rFonts w:ascii="Tahoma" w:hAnsi="Tahoma" w:cs="Tahoma"/>
      <w:sz w:val="16"/>
      <w:szCs w:val="16"/>
    </w:rPr>
  </w:style>
  <w:style w:type="character" w:customStyle="1" w:styleId="BalloonTextChar">
    <w:name w:val="Balloon Text Char"/>
    <w:basedOn w:val="DefaultParagraphFont"/>
    <w:link w:val="BalloonText"/>
    <w:rsid w:val="00DA6D72"/>
    <w:rPr>
      <w:rFonts w:ascii="Tahoma" w:hAnsi="Tahoma" w:cs="Tahoma"/>
      <w:sz w:val="16"/>
      <w:szCs w:val="16"/>
      <w:lang w:val="en-US" w:eastAsia="en-US"/>
    </w:rPr>
  </w:style>
  <w:style w:type="table" w:styleId="TableGrid">
    <w:name w:val="Table Grid"/>
    <w:basedOn w:val="TableNormal"/>
    <w:uiPriority w:val="59"/>
    <w:rsid w:val="00887C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024643">
      <w:bodyDiv w:val="1"/>
      <w:marLeft w:val="0"/>
      <w:marRight w:val="0"/>
      <w:marTop w:val="0"/>
      <w:marBottom w:val="0"/>
      <w:divBdr>
        <w:top w:val="none" w:sz="0" w:space="0" w:color="auto"/>
        <w:left w:val="none" w:sz="0" w:space="0" w:color="auto"/>
        <w:bottom w:val="none" w:sz="0" w:space="0" w:color="auto"/>
        <w:right w:val="none" w:sz="0" w:space="0" w:color="auto"/>
      </w:divBdr>
      <w:divsChild>
        <w:div w:id="1612398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750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196278">
          <w:blockQuote w:val="1"/>
          <w:marLeft w:val="720"/>
          <w:marRight w:val="720"/>
          <w:marTop w:val="100"/>
          <w:marBottom w:val="100"/>
          <w:divBdr>
            <w:top w:val="none" w:sz="0" w:space="0" w:color="auto"/>
            <w:left w:val="none" w:sz="0" w:space="0" w:color="auto"/>
            <w:bottom w:val="none" w:sz="0" w:space="0" w:color="auto"/>
            <w:right w:val="none" w:sz="0" w:space="0" w:color="auto"/>
          </w:divBdr>
        </w:div>
        <w:div w:id="693961232">
          <w:blockQuote w:val="1"/>
          <w:marLeft w:val="720"/>
          <w:marRight w:val="720"/>
          <w:marTop w:val="100"/>
          <w:marBottom w:val="100"/>
          <w:divBdr>
            <w:top w:val="none" w:sz="0" w:space="0" w:color="auto"/>
            <w:left w:val="none" w:sz="0" w:space="0" w:color="auto"/>
            <w:bottom w:val="none" w:sz="0" w:space="0" w:color="auto"/>
            <w:right w:val="none" w:sz="0" w:space="0" w:color="auto"/>
          </w:divBdr>
        </w:div>
        <w:div w:id="798649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Y:\Templates\Template%20for%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D2686-AE1C-44FB-8DD1-1A98D3A30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Report.dotx</Template>
  <TotalTime>55</TotalTime>
  <Pages>3</Pages>
  <Words>773</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vt:lpstr>
    </vt:vector>
  </TitlesOfParts>
  <Company>Deniliquin Council</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Des Bilske</dc:creator>
  <cp:lastModifiedBy>Julie Rogers</cp:lastModifiedBy>
  <cp:revision>3</cp:revision>
  <cp:lastPrinted>2015-10-19T04:15:00Z</cp:lastPrinted>
  <dcterms:created xsi:type="dcterms:W3CDTF">2016-10-04T02:40:00Z</dcterms:created>
  <dcterms:modified xsi:type="dcterms:W3CDTF">2016-10-04T03:35:00Z</dcterms:modified>
</cp:coreProperties>
</file>